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Logo"/>
      </w:pPr>
      <w:r>
        <w:drawing>
          <wp:inline>
            <wp:extent cx="719999" cy="71999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assets/logo-lse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999" cy="719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Title"/>
      </w:pPr>
      <w:r>
        <w:t xml:space="preserve">¿Quiénes son «los demás»?</w:t>
      </w:r>
    </w:p>
    <w:p>
      <w:pPr>
        <w:pStyle w:val="Subtitle"/>
      </w:pPr>
      <w:r>
        <w:t xml:space="preserve">Nostalgia restauradora, normas sociales y control social en entornos humano-máquina</w:t>
      </w:r>
    </w:p>
    <w:p>
      <w:pPr>
        <w:pStyle w:val="TitlePageType"/>
      </w:pPr>
      <w:r>
        <w:t xml:space="preserve">Borrador de propuesta doctoral</w:t>
      </w:r>
    </w:p>
    <w:p>
      <w:pPr>
        <w:pStyle w:val="TitlePageDate"/>
      </w:pPr>
      <w:r>
        <w:t xml:space="preserve">Septiembre de 2026</w:t>
      </w:r>
    </w:p>
    <w:p>
      <w:pPr>
        <w:pStyle w:val="TitlePageSmall"/>
      </w:pPr>
      <w:r>
        <w:t xml:space="preserve">Número de palabras (cuerpo del texto): 559</w:t>
      </w:r>
    </w:p>
    <w:p>
      <w:pPr>
        <w:pStyle w:val="TitlePageAuthor"/>
      </w:pPr>
      <w:r>
        <w:t xml:space="preserve">Matías Deneken</w:t>
      </w:r>
    </w:p>
    <w:p>
      <w:pPr>
        <w:pStyle w:val="TitlePageText"/>
      </w:pPr>
      <w:r>
        <w:t xml:space="preserve">Department of Methodology</w:t>
      </w:r>
    </w:p>
    <w:p>
      <w:pPr>
        <w:pStyle w:val="TitlePageText"/>
      </w:pPr>
      <w:r>
        <w:t xml:space="preserve">London School of Economics and Political Science</w:t>
      </w:r>
    </w:p>
    <w:p>
      <w:pPr>
        <w:pStyle w:val="TitlePageSupervisor"/>
      </w:pPr>
      <w:r>
        <w:t xml:space="preserve">Supervisora: Milena Tsvetkova</w:t>
      </w:r>
    </w:p>
    <w:p>
      <w:pPr>
        <w:pStyle w:val="TitlePageFunding"/>
      </w:pPr>
      <w:r>
        <w:t xml:space="preserve">Programa de doctorado financiado por ANID, Ministerio de Ciencia, Tecnología, Conocimiento e Innovación de Chile · Folio 72260034</w:t>
      </w:r>
    </w:p>
    <w:p>
      <w:pPr>
        <w:pStyle w:val="TOCHeading"/>
      </w:pPr>
      <w:r>
        <w:t xml:space="preserve">Tabla de contenidos</w:t>
      </w:r>
    </w:p>
    <w:p>
      <w:pPr>
        <w:pStyle w:val="toc1"/>
      </w:pPr>
      <w:r>
        <w:fldChar w:fldCharType="begin" w:dirty="true"/>
      </w:r>
      <w:r>
        <w:instrText xml:space="preserve"> TOC \o "1-2" \h \z \u </w:instrText>
      </w:r>
      <w:r>
        <w:fldChar w:fldCharType="separate"/>
      </w:r>
      <w:r>
        <w:t xml:space="preserve">Resumen</w:t>
      </w:r>
    </w:p>
    <w:p>
      <w:pPr>
        <w:pStyle w:val="toc1"/>
      </w:pPr>
      <w:r>
        <w:t xml:space="preserve">1  Problema</w:t>
      </w:r>
    </w:p>
    <w:p>
      <w:pPr>
        <w:pStyle w:val="toc1"/>
      </w:pPr>
      <w:r>
        <w:t xml:space="preserve">Referencias</w:t>
      </w:r>
      <w:r>
        <w:fldChar w:fldCharType="end"/>
      </w:r>
    </w:p>
    <w:p>
      <w:pPr>
        <w:pStyle w:val="WordCount"/>
      </w:pPr>
      <w:r>
        <w:rPr>
          <w:b/>
          <w:bCs/>
        </w:rPr>
        <w:t xml:space="preserve">Número de palabras (cuerpo del texto):</w:t>
      </w:r>
      <w:r>
        <w:t xml:space="preserve"> </w:t>
      </w:r>
      <w:r>
        <w:t xml:space="preserve">559</w:t>
      </w:r>
    </w:p>
    <w:bookmarkStart w:id="23" w:name="resumen"/>
    <w:p>
      <w:pPr>
        <w:pStyle w:val="Heading1"/>
      </w:pPr>
      <w:r>
        <w:t xml:space="preserve">Resumen</w:t>
      </w:r>
    </w:p>
    <w:p>
      <w:pPr>
        <w:pStyle w:val="FirstParagraph"/>
      </w:pPr>
      <w:r>
        <w:t xml:space="preserve">Las normas descansan en lo que cada uno cree que los demás piensan, hacen y</w:t>
      </w:r>
      <w:r>
        <w:t xml:space="preserve"> </w:t>
      </w:r>
      <w:r>
        <w:t xml:space="preserve">sancionarían. En los entornos digitales, parte de esas señales la producen</w:t>
      </w:r>
      <w:r>
        <w:t xml:space="preserve"> </w:t>
      </w:r>
      <w:r>
        <w:t xml:space="preserve">máquinas: voces que nadie sostiene, aprobaciones que nadie otorga y sanciones que</w:t>
      </w:r>
      <w:r>
        <w:t xml:space="preserve"> </w:t>
      </w:r>
      <w:r>
        <w:t xml:space="preserve">nadie aplica. La tesis pregunta qué queda de las normas y del control social</w:t>
      </w:r>
      <w:r>
        <w:t xml:space="preserve"> </w:t>
      </w:r>
      <w:r>
        <w:t xml:space="preserve">cuando «los demás» incluyen agentes artificiales.</w:t>
      </w:r>
    </w:p>
    <w:p>
      <w:pPr>
        <w:pStyle w:val="BodyText"/>
      </w:pPr>
      <w:r>
        <w:t xml:space="preserve">La pregunta se estudia en un terreno donde el orden social está explícitamente en</w:t>
      </w:r>
      <w:r>
        <w:t xml:space="preserve"> </w:t>
      </w:r>
      <w:r>
        <w:t xml:space="preserve">disputa: la</w:t>
      </w:r>
      <w:r>
        <w:t xml:space="preserve"> </w:t>
      </w:r>
      <w:r>
        <w:rPr>
          <w:b/>
          <w:bCs/>
        </w:rPr>
        <w:t xml:space="preserve">nostalgia restauradora</w:t>
      </w:r>
      <w:r>
        <w:t xml:space="preserve">, es decir, los reclamos públicos de volver</w:t>
      </w:r>
      <w:r>
        <w:t xml:space="preserve"> </w:t>
      </w:r>
      <w:r>
        <w:t xml:space="preserve">a un orden pasado que se presenta como perdido. En el mundo hispanohablante</w:t>
      </w:r>
      <w:r>
        <w:t xml:space="preserve"> </w:t>
      </w:r>
      <w:r>
        <w:t xml:space="preserve">adopta la forma de nostalgia por órdenes autoritarios; en el Reino Unido, la de</w:t>
      </w:r>
      <w:r>
        <w:t xml:space="preserve"> </w:t>
      </w:r>
      <w:r>
        <w:t xml:space="preserve">nostalgia por un orden nacional y étnico.</w:t>
      </w:r>
    </w:p>
    <w:p>
      <w:pPr>
        <w:pStyle w:val="BodyText"/>
      </w:pPr>
      <w:r>
        <w:t xml:space="preserve">La tesis estudia cuánto pesa una voz artificial en la percepción de la norma que</w:t>
      </w:r>
      <w:r>
        <w:t xml:space="preserve"> </w:t>
      </w:r>
      <w:r>
        <w:t xml:space="preserve">regula esos reclamos, cómo cambia la disposición a expresarlos y a sancionarlos,</w:t>
      </w:r>
      <w:r>
        <w:t xml:space="preserve"> </w:t>
      </w:r>
      <w:r>
        <w:t xml:space="preserve">y cuándo ese peso basta para desplazar la norma a escala colectiva. Combina un</w:t>
      </w:r>
      <w:r>
        <w:t xml:space="preserve"> </w:t>
      </w:r>
      <w:r>
        <w:t xml:space="preserve">estudio exploratorio de trazas digitales en comunidades hispanohablantes, un</w:t>
      </w:r>
      <w:r>
        <w:t xml:space="preserve"> </w:t>
      </w:r>
      <w:r>
        <w:t xml:space="preserve">experimento en línea en el Reino Unido con un brazo en España, y un modelo basado</w:t>
      </w:r>
      <w:r>
        <w:t xml:space="preserve"> </w:t>
      </w:r>
      <w:r>
        <w:t xml:space="preserve">en agentes.</w:t>
      </w:r>
    </w:p>
    <w:bookmarkEnd w:id="23"/>
    <w:bookmarkStart w:id="24" w:name="problema"/>
    <w:p>
      <w:pPr>
        <w:pStyle w:val="Heading1"/>
      </w:pPr>
      <w:r>
        <w:t xml:space="preserve">1. Problema</w:t>
      </w:r>
    </w:p>
    <w:p>
      <w:pPr>
        <w:pStyle w:val="FirstParagraph"/>
      </w:pPr>
      <w:r>
        <w:t xml:space="preserve">El orden social y las normas sociales son conceptos fundacionales de la</w:t>
      </w:r>
      <w:r>
        <w:t xml:space="preserve"> </w:t>
      </w:r>
      <w:r>
        <w:t xml:space="preserve">sociología y de la psicología social. La tradición clásica explicó el orden por</w:t>
      </w:r>
      <w:r>
        <w:t xml:space="preserve"> </w:t>
      </w:r>
      <w:r>
        <w:t xml:space="preserve">valores compartidos que los individuos interiorizan</w:t>
      </w:r>
      <w:r>
        <w:t xml:space="preserve"> </w:t>
      </w:r>
      <w:r>
        <w:t xml:space="preserve">(Parsons, 1937)</w:t>
      </w:r>
      <w:r>
        <w:t xml:space="preserve">. Una línea</w:t>
      </w:r>
      <w:r>
        <w:t xml:space="preserve"> </w:t>
      </w:r>
      <w:r>
        <w:t xml:space="preserve">posterior mostró que no hace falta tanto consenso: basta con que cada uno espere</w:t>
      </w:r>
      <w:r>
        <w:t xml:space="preserve"> </w:t>
      </w:r>
      <w:r>
        <w:t xml:space="preserve">que los demás cumplan y sancionen, y con que la conducta observada confirme esa</w:t>
      </w:r>
      <w:r>
        <w:t xml:space="preserve"> </w:t>
      </w:r>
      <w:r>
        <w:t xml:space="preserve">expectativa</w:t>
      </w:r>
      <w:r>
        <w:t xml:space="preserve"> </w:t>
      </w:r>
      <w:r>
        <w:t xml:space="preserve">(Bicchieri, 2006; Elster, 1989)</w:t>
      </w:r>
      <w:r>
        <w:t xml:space="preserve">. En esta visión, la norma no es el</w:t>
      </w:r>
      <w:r>
        <w:t xml:space="preserve"> </w:t>
      </w:r>
      <w:r>
        <w:t xml:space="preserve">comportamiento aceptado, sino lo que cada persona cree que los demás hacen,</w:t>
      </w:r>
      <w:r>
        <w:t xml:space="preserve"> </w:t>
      </w:r>
      <w:r>
        <w:t xml:space="preserve">aprueban y sancionarían. Esas creencias hacen que el orden sea estable, porque se</w:t>
      </w:r>
      <w:r>
        <w:t xml:space="preserve"> </w:t>
      </w:r>
      <w:r>
        <w:t xml:space="preserve">refuerzan mutuamente, y a la vez frágil: si cambia la percepción de lo que</w:t>
      </w:r>
      <w:r>
        <w:t xml:space="preserve"> </w:t>
      </w:r>
      <w:r>
        <w:t xml:space="preserve">piensan los demás, el orden puede cambiar sin que cambien las convicciones de</w:t>
      </w:r>
      <w:r>
        <w:t xml:space="preserve"> </w:t>
      </w:r>
      <w:r>
        <w:t xml:space="preserve">nadie. Por esa vía actúan también los movimientos sociales y las políticas</w:t>
      </w:r>
      <w:r>
        <w:t xml:space="preserve"> </w:t>
      </w:r>
      <w:r>
        <w:t xml:space="preserve">públicas, que cambian normas al cambiar lo que se cree que los demás piensan</w:t>
      </w:r>
      <w:r>
        <w:t xml:space="preserve"> </w:t>
      </w:r>
      <w:r>
        <w:t xml:space="preserve">(Tankard &amp; Paluck, 2016)</w:t>
      </w:r>
      <w:r>
        <w:t xml:space="preserve">. La investigación ha estudiado cómo se forman y cambian estas</w:t>
      </w:r>
      <w:r>
        <w:t xml:space="preserve"> </w:t>
      </w:r>
      <w:r>
        <w:t xml:space="preserve">expectativas entre individuos, grupos e instituciones, pero siempre bajo un</w:t>
      </w:r>
      <w:r>
        <w:t xml:space="preserve"> </w:t>
      </w:r>
      <w:r>
        <w:t xml:space="preserve">supuesto: que los demás son personas.</w:t>
      </w:r>
    </w:p>
    <w:p>
      <w:pPr>
        <w:pStyle w:val="BodyText"/>
      </w:pPr>
      <w:r>
        <w:t xml:space="preserve">Kuran mostró que la distancia entre lo que se piensa y lo que se dice puede</w:t>
      </w:r>
      <w:r>
        <w:t xml:space="preserve"> </w:t>
      </w:r>
      <w:r>
        <w:t xml:space="preserve">sostenerse largo tiempo y romperse de golpe cuando cambia la percepción de lo que</w:t>
      </w:r>
      <w:r>
        <w:t xml:space="preserve"> </w:t>
      </w:r>
      <w:r>
        <w:t xml:space="preserve">piensan los demás</w:t>
      </w:r>
      <w:r>
        <w:t xml:space="preserve"> </w:t>
      </w:r>
      <w:r>
        <w:t xml:space="preserve">(Kuran, 1995)</w:t>
      </w:r>
      <w:r>
        <w:t xml:space="preserve">. La evidencia experimental confirma el mecanismo.</w:t>
      </w:r>
      <w:r>
        <w:t xml:space="preserve"> </w:t>
      </w:r>
      <w:r>
        <w:t xml:space="preserve">Cuando un acontecimiento revela que una posición estigmatizada es más popular de</w:t>
      </w:r>
      <w:r>
        <w:t xml:space="preserve"> </w:t>
      </w:r>
      <w:r>
        <w:t xml:space="preserve">lo que se creía, aumenta la disposición a expresarla y disminuye la sanción a</w:t>
      </w:r>
      <w:r>
        <w:t xml:space="preserve"> </w:t>
      </w:r>
      <w:r>
        <w:t xml:space="preserve">quien lo hace</w:t>
      </w:r>
      <w:r>
        <w:t xml:space="preserve"> </w:t>
      </w:r>
      <w:r>
        <w:t xml:space="preserve">(Álvarez-Benjumea &amp; Winter, 2020; Bursztyn et al., 2020)</w:t>
      </w:r>
      <w:r>
        <w:t xml:space="preserve">. Cambia la creencia sobre los</w:t>
      </w:r>
      <w:r>
        <w:t xml:space="preserve"> </w:t>
      </w:r>
      <w:r>
        <w:t xml:space="preserve">demás, no necesariamente la actitud propia.</w:t>
      </w:r>
    </w:p>
    <w:p>
      <w:pPr>
        <w:pStyle w:val="BodyText"/>
      </w:pPr>
      <w:r>
        <w:t xml:space="preserve">Esta literatura trata las señales sociales como información sobre personas, y ese</w:t>
      </w:r>
      <w:r>
        <w:t xml:space="preserve"> </w:t>
      </w:r>
      <w:r>
        <w:t xml:space="preserve">supuesto ya no es inocuo. Una fracción de las voces visibles en plataformas la</w:t>
      </w:r>
      <w:r>
        <w:t xml:space="preserve"> </w:t>
      </w:r>
      <w:r>
        <w:t xml:space="preserve">producen cuentas automatizadas, y los modelos de lenguaje abaratan la fabricación</w:t>
      </w:r>
      <w:r>
        <w:t xml:space="preserve"> </w:t>
      </w:r>
      <w:r>
        <w:t xml:space="preserve">de multitudes aparentes</w:t>
      </w:r>
      <w:r>
        <w:t xml:space="preserve"> </w:t>
      </w:r>
      <w:r>
        <w:t xml:space="preserve">(Schroeder et al., 2026)</w:t>
      </w:r>
      <w:r>
        <w:t xml:space="preserve">. La revisión programática del</w:t>
      </w:r>
      <w:r>
        <w:t xml:space="preserve"> </w:t>
      </w:r>
      <w:r>
        <w:t xml:space="preserve">laboratorio sugiere que los bots influyen menos en las opiniones que en la</w:t>
      </w:r>
      <w:r>
        <w:t xml:space="preserve"> </w:t>
      </w:r>
      <w:r>
        <w:t xml:space="preserve">confianza para expresarlas, y que por eso pueden activar la espiral del silencio</w:t>
      </w:r>
      <w:r>
        <w:t xml:space="preserve"> </w:t>
      </w:r>
      <w:r>
        <w:t xml:space="preserve">(Tsvetkova et al., 2024)</w:t>
      </w:r>
      <w:r>
        <w:t xml:space="preserve">. Bail propone usar la IA generativa para reconstruir el «sentido</w:t>
      </w:r>
      <w:r>
        <w:t xml:space="preserve"> </w:t>
      </w:r>
      <w:r>
        <w:t xml:space="preserve">social», los entendimientos compartidos sobre lo aceptable</w:t>
      </w:r>
      <w:r>
        <w:t xml:space="preserve"> </w:t>
      </w:r>
      <w:r>
        <w:t xml:space="preserve">(Bail, 2024)</w:t>
      </w:r>
      <w:r>
        <w:t xml:space="preserve">. Esta</w:t>
      </w:r>
      <w:r>
        <w:t xml:space="preserve"> </w:t>
      </w:r>
      <w:r>
        <w:t xml:space="preserve">tesis invierte la pregunta: cómo altera ese sentido social la presencia de</w:t>
      </w:r>
      <w:r>
        <w:t xml:space="preserve"> </w:t>
      </w:r>
      <w:r>
        <w:t xml:space="preserve">agentes artificiales.</w:t>
      </w:r>
    </w:p>
    <w:p>
      <w:pPr>
        <w:pStyle w:val="BodyText"/>
      </w:pPr>
      <w:r>
        <w:t xml:space="preserve">Los agentes artificiales han emergido como un nuevo tipo de participante en la</w:t>
      </w:r>
      <w:r>
        <w:t xml:space="preserve"> </w:t>
      </w:r>
      <w:r>
        <w:t xml:space="preserve">vida social. Ya no solo median la comunicación entre personas: opinan, aprueban</w:t>
      </w:r>
      <w:r>
        <w:t xml:space="preserve"> </w:t>
      </w:r>
      <w:r>
        <w:t xml:space="preserve">y sancionan en los mismos espacios donde la gente infiere qué piensan los demás</w:t>
      </w:r>
      <w:r>
        <w:t xml:space="preserve"> </w:t>
      </w:r>
      <w:r>
        <w:t xml:space="preserve">(Tsvetkova et al., 2024)</w:t>
      </w:r>
      <w:r>
        <w:t xml:space="preserve">. Esta tesis estudia ese problema en un terreno donde el orden</w:t>
      </w:r>
      <w:r>
        <w:t xml:space="preserve"> </w:t>
      </w:r>
      <w:r>
        <w:t xml:space="preserve">social está en disputa: la nostalgia restauradora. A diferencia de la nostalgia</w:t>
      </w:r>
      <w:r>
        <w:t xml:space="preserve"> </w:t>
      </w:r>
      <w:r>
        <w:t xml:space="preserve">reflexiva, que añora un pasado sabiendo que no volverá, la restauradora pretende</w:t>
      </w:r>
      <w:r>
        <w:t xml:space="preserve"> </w:t>
      </w:r>
      <w:r>
        <w:t xml:space="preserve">reconstruirlo y se presenta como verdad y tradición</w:t>
      </w:r>
      <w:r>
        <w:t xml:space="preserve"> </w:t>
      </w:r>
      <w:r>
        <w:t xml:space="preserve">(Boym, 2001)</w:t>
      </w:r>
      <w:r>
        <w:t xml:space="preserve">. Sus efectos</w:t>
      </w:r>
      <w:r>
        <w:t xml:space="preserve"> </w:t>
      </w:r>
      <w:r>
        <w:t xml:space="preserve">están bien documentados: refuerza la identificación con el propio grupo</w:t>
      </w:r>
      <w:r>
        <w:t xml:space="preserve"> </w:t>
      </w:r>
      <w:r>
        <w:t xml:space="preserve">(Wildschut et al., 2014)</w:t>
      </w:r>
      <w:r>
        <w:t xml:space="preserve"> </w:t>
      </w:r>
      <w:r>
        <w:t xml:space="preserve">y alimenta la idea de que el país pertenece a quienes llegaron</w:t>
      </w:r>
      <w:r>
        <w:t xml:space="preserve"> </w:t>
      </w:r>
      <w:r>
        <w:t xml:space="preserve">primero y, por esa vía, la oposición a los derechos de las minorías y a la</w:t>
      </w:r>
      <w:r>
        <w:t xml:space="preserve"> </w:t>
      </w:r>
      <w:r>
        <w:t xml:space="preserve">inmigración</w:t>
      </w:r>
      <w:r>
        <w:t xml:space="preserve"> </w:t>
      </w:r>
      <w:r>
        <w:t xml:space="preserve">(Mols &amp; Jetten, 2014; Smeekes et al., 2015)</w:t>
      </w:r>
      <w:r>
        <w:t xml:space="preserve">. Suele hablar, además, en nombre de una</w:t>
      </w:r>
      <w:r>
        <w:t xml:space="preserve"> </w:t>
      </w:r>
      <w:r>
        <w:rPr>
          <w:b/>
          <w:bCs/>
        </w:rPr>
        <w:t xml:space="preserve">mayoría silenciosa</w:t>
      </w:r>
      <w:r>
        <w:t xml:space="preserve"> </w:t>
      </w:r>
      <w:r>
        <w:t xml:space="preserve">que pensaría lo mismo pero no se atreve a decirlo, y que</w:t>
      </w:r>
      <w:r>
        <w:t xml:space="preserve"> </w:t>
      </w:r>
      <w:r>
        <w:t xml:space="preserve">vive la sanción social como censura</w:t>
      </w:r>
      <w:r>
        <w:t xml:space="preserve"> </w:t>
      </w:r>
      <w:r>
        <w:t xml:space="preserve">(</w:t>
      </w:r>
      <w:r>
        <w:rPr>
          <w:b/>
          <w:bCs/>
        </w:rPr>
        <w:t xml:space="preserve">norris2019?</w:t>
      </w:r>
      <w:r>
        <w:t xml:space="preserve">)</w:t>
      </w:r>
      <w:r>
        <w:t xml:space="preserve">. Esa mayoría no necesita</w:t>
      </w:r>
      <w:r>
        <w:t xml:space="preserve"> </w:t>
      </w:r>
      <w:r>
        <w:t xml:space="preserve">existir para que la creencia en ella opere: basta una señal de que existe para</w:t>
      </w:r>
      <w:r>
        <w:t xml:space="preserve"> </w:t>
      </w:r>
      <w:r>
        <w:t xml:space="preserve">que cambie lo que se dice</w:t>
      </w:r>
      <w:r>
        <w:t xml:space="preserve"> </w:t>
      </w:r>
      <w:r>
        <w:t xml:space="preserve">(Bursztyn et al., 2020)</w:t>
      </w:r>
      <w:r>
        <w:t xml:space="preserve">. Si esas señales pueden fabricarlas</w:t>
      </w:r>
      <w:r>
        <w:t xml:space="preserve"> </w:t>
      </w:r>
      <w:r>
        <w:t xml:space="preserve">máquinas, las normas, y con ellas el orden social, podrían desplazarse por una</w:t>
      </w:r>
      <w:r>
        <w:t xml:space="preserve"> </w:t>
      </w:r>
      <w:r>
        <w:t xml:space="preserve">mayoría que no existe. Esa es la pregunta de esta tesis.</w:t>
      </w:r>
    </w:p>
    <w:bookmarkEnd w:id="24"/>
    <w:bookmarkStart w:id="44" w:name="referencias"/>
    <w:p>
      <w:pPr>
        <w:pStyle w:val="Heading1"/>
      </w:pPr>
      <w:r>
        <w:t xml:space="preserve">Referencias</w:t>
      </w:r>
    </w:p>
    <w:bookmarkStart w:id="43" w:name="refs"/>
    <w:bookmarkStart w:id="26" w:name="ref-alvarezbenjumea2020"/>
    <w:p>
      <w:pPr>
        <w:pStyle w:val="Bibliography"/>
      </w:pPr>
      <w:r>
        <w:t xml:space="preserve">Álvarez-Benjumea, A., &amp; Winter, F. (2020). The Breakdown of Antiracist Norms: A Natural Experiment on Hate Speech after Terrorist Attacks.</w:t>
      </w:r>
      <w:r>
        <w:t xml:space="preserve"> </w:t>
      </w:r>
      <w:r>
        <w:rPr>
          <w:i/>
          <w:iCs/>
        </w:rPr>
        <w:t xml:space="preserve">Proceedings of the National Academy of Sciences</w:t>
      </w:r>
      <w:r>
        <w:t xml:space="preserve">,</w:t>
      </w:r>
      <w:r>
        <w:t xml:space="preserve"> </w:t>
      </w:r>
      <w:r>
        <w:rPr>
          <w:i/>
          <w:iCs/>
        </w:rPr>
        <w:t xml:space="preserve">117</w:t>
      </w:r>
      <w:r>
        <w:t xml:space="preserve">(37), 22800-22804.</w:t>
      </w:r>
      <w:r>
        <w:t xml:space="preserve"> </w:t>
      </w:r>
      <w:hyperlink r:id="rId25">
        <w:r>
          <w:rPr>
            <w:rStyle w:val="Hyperlink"/>
          </w:rPr>
          <w:t xml:space="preserve">https://doi.org/10.1073/pnas.2007977117</w:t>
        </w:r>
      </w:hyperlink>
    </w:p>
    <w:bookmarkEnd w:id="26"/>
    <w:bookmarkStart w:id="27" w:name="ref-bail2024"/>
    <w:p>
      <w:pPr>
        <w:pStyle w:val="Bibliography"/>
      </w:pPr>
      <w:r>
        <w:t xml:space="preserve">Bail, C. A. (2024). Can Generative</w:t>
      </w:r>
      <w:r>
        <w:t xml:space="preserve"> </w:t>
      </w:r>
      <w:r>
        <w:t xml:space="preserve">AI</w:t>
      </w:r>
      <w:r>
        <w:t xml:space="preserve"> </w:t>
      </w:r>
      <w:r>
        <w:t xml:space="preserve">Improve Social Science?</w:t>
      </w:r>
      <w:r>
        <w:t xml:space="preserve"> </w:t>
      </w:r>
      <w:r>
        <w:rPr>
          <w:i/>
          <w:iCs/>
        </w:rPr>
        <w:t xml:space="preserve">Proceedings of the National Academy of Sciences</w:t>
      </w:r>
      <w:r>
        <w:t xml:space="preserve">,</w:t>
      </w:r>
      <w:r>
        <w:t xml:space="preserve"> </w:t>
      </w:r>
      <w:r>
        <w:rPr>
          <w:i/>
          <w:iCs/>
        </w:rPr>
        <w:t xml:space="preserve">121</w:t>
      </w:r>
      <w:r>
        <w:t xml:space="preserve">(21), e2314021121.</w:t>
      </w:r>
    </w:p>
    <w:bookmarkEnd w:id="27"/>
    <w:bookmarkStart w:id="28" w:name="ref-bicchieri2006"/>
    <w:p>
      <w:pPr>
        <w:pStyle w:val="Bibliography"/>
      </w:pPr>
      <w:r>
        <w:t xml:space="preserve">Bicchieri, C. (2006).</w:t>
      </w:r>
      <w:r>
        <w:t xml:space="preserve"> </w:t>
      </w:r>
      <w:r>
        <w:rPr>
          <w:i/>
          <w:iCs/>
        </w:rPr>
        <w:t xml:space="preserve">The Grammar of Society: The Nature and Dynamics of Social Norms</w:t>
      </w:r>
      <w:r>
        <w:t xml:space="preserve">. Cambridge University Press.</w:t>
      </w:r>
    </w:p>
    <w:bookmarkEnd w:id="28"/>
    <w:bookmarkStart w:id="29" w:name="ref-boym2001"/>
    <w:p>
      <w:pPr>
        <w:pStyle w:val="Bibliography"/>
      </w:pPr>
      <w:r>
        <w:t xml:space="preserve">Boym, S. (2001).</w:t>
      </w:r>
      <w:r>
        <w:t xml:space="preserve"> </w:t>
      </w:r>
      <w:r>
        <w:rPr>
          <w:i/>
          <w:iCs/>
        </w:rPr>
        <w:t xml:space="preserve">The Future of Nostalgia</w:t>
      </w:r>
      <w:r>
        <w:t xml:space="preserve">. Basic Books.</w:t>
      </w:r>
    </w:p>
    <w:bookmarkEnd w:id="29"/>
    <w:bookmarkStart w:id="31" w:name="ref-bursztyn2020"/>
    <w:p>
      <w:pPr>
        <w:pStyle w:val="Bibliography"/>
      </w:pPr>
      <w:r>
        <w:t xml:space="preserve">Bursztyn, L., Egorov, G., &amp; Fiorin, S. (2020). From Extreme to Mainstream: The Erosion of Social Norms.</w:t>
      </w:r>
      <w:r>
        <w:t xml:space="preserve"> </w:t>
      </w:r>
      <w:r>
        <w:rPr>
          <w:i/>
          <w:iCs/>
        </w:rPr>
        <w:t xml:space="preserve">American Economic Review</w:t>
      </w:r>
      <w:r>
        <w:t xml:space="preserve">,</w:t>
      </w:r>
      <w:r>
        <w:t xml:space="preserve"> </w:t>
      </w:r>
      <w:r>
        <w:rPr>
          <w:i/>
          <w:iCs/>
        </w:rPr>
        <w:t xml:space="preserve">110</w:t>
      </w:r>
      <w:r>
        <w:t xml:space="preserve">(11), 3522-3548.</w:t>
      </w:r>
      <w:r>
        <w:t xml:space="preserve"> </w:t>
      </w:r>
      <w:hyperlink r:id="rId30">
        <w:r>
          <w:rPr>
            <w:rStyle w:val="Hyperlink"/>
          </w:rPr>
          <w:t xml:space="preserve">https://doi.org/10.1257/aer.20171175</w:t>
        </w:r>
      </w:hyperlink>
    </w:p>
    <w:bookmarkEnd w:id="31"/>
    <w:bookmarkStart w:id="32" w:name="ref-elster1989"/>
    <w:p>
      <w:pPr>
        <w:pStyle w:val="Bibliography"/>
      </w:pPr>
      <w:r>
        <w:t xml:space="preserve">Elster, J. (1989). Social Norms and Economic Theory.</w:t>
      </w:r>
      <w:r>
        <w:t xml:space="preserve"> </w:t>
      </w:r>
      <w:r>
        <w:rPr>
          <w:i/>
          <w:iCs/>
        </w:rPr>
        <w:t xml:space="preserve">Journal of Economic Perspectives</w:t>
      </w:r>
      <w:r>
        <w:t xml:space="preserve">,</w:t>
      </w:r>
      <w:r>
        <w:t xml:space="preserve"> </w:t>
      </w:r>
      <w:r>
        <w:rPr>
          <w:i/>
          <w:iCs/>
        </w:rPr>
        <w:t xml:space="preserve">3</w:t>
      </w:r>
      <w:r>
        <w:t xml:space="preserve">(4), 99-117.</w:t>
      </w:r>
    </w:p>
    <w:bookmarkEnd w:id="32"/>
    <w:bookmarkStart w:id="33" w:name="ref-kuran1995"/>
    <w:p>
      <w:pPr>
        <w:pStyle w:val="Bibliography"/>
      </w:pPr>
      <w:r>
        <w:t xml:space="preserve">Kuran, T. (1995).</w:t>
      </w:r>
      <w:r>
        <w:t xml:space="preserve"> </w:t>
      </w:r>
      <w:r>
        <w:rPr>
          <w:i/>
          <w:iCs/>
        </w:rPr>
        <w:t xml:space="preserve">Private Truths, Public Lies: The Social Consequences of Preference Falsification</w:t>
      </w:r>
      <w:r>
        <w:t xml:space="preserve">. Harvard University Press.</w:t>
      </w:r>
    </w:p>
    <w:bookmarkEnd w:id="33"/>
    <w:bookmarkStart w:id="34" w:name="ref-mols2014"/>
    <w:p>
      <w:pPr>
        <w:pStyle w:val="Bibliography"/>
      </w:pPr>
      <w:r>
        <w:t xml:space="preserve">Mols, F., &amp; Jetten, J. (2014). No Guts, No Glory: How Framing the Collective Past Paves the Way for Anti-Immigrant Sentiments.</w:t>
      </w:r>
      <w:r>
        <w:t xml:space="preserve"> </w:t>
      </w:r>
      <w:r>
        <w:rPr>
          <w:i/>
          <w:iCs/>
        </w:rPr>
        <w:t xml:space="preserve">International Journal of Intercultural Relations</w:t>
      </w:r>
      <w:r>
        <w:t xml:space="preserve">,</w:t>
      </w:r>
      <w:r>
        <w:t xml:space="preserve"> </w:t>
      </w:r>
      <w:r>
        <w:rPr>
          <w:i/>
          <w:iCs/>
        </w:rPr>
        <w:t xml:space="preserve">43</w:t>
      </w:r>
      <w:r>
        <w:t xml:space="preserve">, 74-86.</w:t>
      </w:r>
    </w:p>
    <w:bookmarkEnd w:id="34"/>
    <w:bookmarkStart w:id="35" w:name="ref-parsons1937"/>
    <w:p>
      <w:pPr>
        <w:pStyle w:val="Bibliography"/>
      </w:pPr>
      <w:r>
        <w:t xml:space="preserve">Parsons, T. (1937).</w:t>
      </w:r>
      <w:r>
        <w:t xml:space="preserve"> </w:t>
      </w:r>
      <w:r>
        <w:rPr>
          <w:i/>
          <w:iCs/>
        </w:rPr>
        <w:t xml:space="preserve">The Structure of Social Action</w:t>
      </w:r>
      <w:r>
        <w:t xml:space="preserve">. McGraw-Hill.</w:t>
      </w:r>
    </w:p>
    <w:bookmarkEnd w:id="35"/>
    <w:bookmarkStart w:id="36" w:name="ref-schroeder2026"/>
    <w:p>
      <w:pPr>
        <w:pStyle w:val="Bibliography"/>
      </w:pPr>
      <w:r>
        <w:t xml:space="preserve">Schroeder, D. T. et al. (2026). How Malicious</w:t>
      </w:r>
      <w:r>
        <w:t xml:space="preserve"> </w:t>
      </w:r>
      <w:r>
        <w:t xml:space="preserve">AI</w:t>
      </w:r>
      <w:r>
        <w:t xml:space="preserve"> </w:t>
      </w:r>
      <w:r>
        <w:t xml:space="preserve">Swarms Can Threaten Democracy.</w:t>
      </w:r>
      <w:r>
        <w:t xml:space="preserve"> </w:t>
      </w:r>
      <w:r>
        <w:rPr>
          <w:i/>
          <w:iCs/>
        </w:rPr>
        <w:t xml:space="preserve">Science</w:t>
      </w:r>
      <w:r>
        <w:t xml:space="preserve">,</w:t>
      </w:r>
      <w:r>
        <w:t xml:space="preserve"> </w:t>
      </w:r>
      <w:r>
        <w:rPr>
          <w:i/>
          <w:iCs/>
        </w:rPr>
        <w:t xml:space="preserve">391</w:t>
      </w:r>
      <w:r>
        <w:t xml:space="preserve">, 354-357.</w:t>
      </w:r>
    </w:p>
    <w:bookmarkEnd w:id="36"/>
    <w:bookmarkStart w:id="38" w:name="ref-smeekes2015"/>
    <w:p>
      <w:pPr>
        <w:pStyle w:val="Bibliography"/>
      </w:pPr>
      <w:r>
        <w:t xml:space="preserve">Smeekes, A., Verkuyten, M., &amp; Martinovic, B. (2015). Longing for the Country’s Good Old Days: National Nostalgia, Autochthony Beliefs, and Opposition to</w:t>
      </w:r>
      <w:r>
        <w:t xml:space="preserve"> </w:t>
      </w:r>
      <w:r>
        <w:t xml:space="preserve">Muslim</w:t>
      </w:r>
      <w:r>
        <w:t xml:space="preserve"> </w:t>
      </w:r>
      <w:r>
        <w:t xml:space="preserve">Expressive Rights.</w:t>
      </w:r>
      <w:r>
        <w:t xml:space="preserve"> </w:t>
      </w:r>
      <w:r>
        <w:rPr>
          <w:i/>
          <w:iCs/>
        </w:rPr>
        <w:t xml:space="preserve">British Journal of Social Psychology</w:t>
      </w:r>
      <w:r>
        <w:t xml:space="preserve">,</w:t>
      </w:r>
      <w:r>
        <w:t xml:space="preserve"> </w:t>
      </w:r>
      <w:r>
        <w:rPr>
          <w:i/>
          <w:iCs/>
        </w:rPr>
        <w:t xml:space="preserve">54</w:t>
      </w:r>
      <w:r>
        <w:t xml:space="preserve">(3), 561-580.</w:t>
      </w:r>
      <w:r>
        <w:t xml:space="preserve"> </w:t>
      </w:r>
      <w:hyperlink r:id="rId37">
        <w:r>
          <w:rPr>
            <w:rStyle w:val="Hyperlink"/>
          </w:rPr>
          <w:t xml:space="preserve">https://doi.org/10.1111/bjso.12097</w:t>
        </w:r>
      </w:hyperlink>
    </w:p>
    <w:bookmarkEnd w:id="38"/>
    <w:bookmarkStart w:id="39" w:name="ref-tankard2016"/>
    <w:p>
      <w:pPr>
        <w:pStyle w:val="Bibliography"/>
      </w:pPr>
      <w:r>
        <w:t xml:space="preserve">Tankard, M. E., &amp; Paluck, E. L. (2016). Norm Perception as a Vehicle for Social Change.</w:t>
      </w:r>
      <w:r>
        <w:t xml:space="preserve"> </w:t>
      </w:r>
      <w:r>
        <w:rPr>
          <w:i/>
          <w:iCs/>
        </w:rPr>
        <w:t xml:space="preserve">Social Issues and Policy Review</w:t>
      </w:r>
      <w:r>
        <w:t xml:space="preserve">,</w:t>
      </w:r>
      <w:r>
        <w:t xml:space="preserve"> </w:t>
      </w:r>
      <w:r>
        <w:rPr>
          <w:i/>
          <w:iCs/>
        </w:rPr>
        <w:t xml:space="preserve">10</w:t>
      </w:r>
      <w:r>
        <w:t xml:space="preserve">(1), 181-211.</w:t>
      </w:r>
    </w:p>
    <w:bookmarkEnd w:id="39"/>
    <w:bookmarkStart w:id="40" w:name="ref-tsvetkova2024"/>
    <w:p>
      <w:pPr>
        <w:pStyle w:val="Bibliography"/>
      </w:pPr>
      <w:r>
        <w:t xml:space="preserve">Tsvetkova, M., Yasseri, T., Pescetelli, N., &amp; Werner, T. (2024). A New Sociology of Humans and Machines.</w:t>
      </w:r>
      <w:r>
        <w:t xml:space="preserve"> </w:t>
      </w:r>
      <w:r>
        <w:rPr>
          <w:i/>
          <w:iCs/>
        </w:rPr>
        <w:t xml:space="preserve">Nature Human Behaviour</w:t>
      </w:r>
      <w:r>
        <w:t xml:space="preserve">,</w:t>
      </w:r>
      <w:r>
        <w:t xml:space="preserve"> </w:t>
      </w:r>
      <w:r>
        <w:rPr>
          <w:i/>
          <w:iCs/>
        </w:rPr>
        <w:t xml:space="preserve">8</w:t>
      </w:r>
      <w:r>
        <w:t xml:space="preserve">(10), 1864-1876.</w:t>
      </w:r>
    </w:p>
    <w:bookmarkEnd w:id="40"/>
    <w:bookmarkStart w:id="42" w:name="ref-wildschut2014"/>
    <w:p>
      <w:pPr>
        <w:pStyle w:val="Bibliography"/>
      </w:pPr>
      <w:r>
        <w:t xml:space="preserve">Wildschut, T., Bruder, M., Robertson, S., Tilburg, W. A. P. van, &amp; Sedikides, C. (2014). Collective Nostalgia: A Group-Level Emotion That Confers Unique Benefits on the Group.</w:t>
      </w:r>
      <w:r>
        <w:t xml:space="preserve"> </w:t>
      </w:r>
      <w:r>
        <w:rPr>
          <w:i/>
          <w:iCs/>
        </w:rPr>
        <w:t xml:space="preserve">Journal of Personality and Social Psychology</w:t>
      </w:r>
      <w:r>
        <w:t xml:space="preserve">,</w:t>
      </w:r>
      <w:r>
        <w:t xml:space="preserve"> </w:t>
      </w:r>
      <w:r>
        <w:rPr>
          <w:i/>
          <w:iCs/>
        </w:rPr>
        <w:t xml:space="preserve">107</w:t>
      </w:r>
      <w:r>
        <w:t xml:space="preserve">(5), 844-863.</w:t>
      </w:r>
      <w:r>
        <w:t xml:space="preserve"> </w:t>
      </w:r>
      <w:hyperlink r:id="rId41">
        <w:r>
          <w:rPr>
            <w:rStyle w:val="Hyperlink"/>
          </w:rPr>
          <w:t xml:space="preserve">https://doi.org/10.1037/a0037760</w:t>
        </w:r>
      </w:hyperlink>
    </w:p>
    <w:bookmarkEnd w:id="42"/>
    <w:bookmarkEnd w:id="43"/>
    <w:bookmarkEnd w:id="44"/>
    <w:sectPr>
      <w:pgSz w:h="16838" w:w="11906"/>
      <w:pgMar w:bottom="1134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200" w:before="0" w:line="360" w:lineRule="auto"/>
      <w:jc w:val="left"/>
    </w:pPr>
    <w:rPr>
      <w:rFonts w:ascii="Times New Roman" w:cs="Times New Roman" w:eastAsia="Times New Roman" w:hAnsi="Times New Roman"/>
      <w:color w:val="000000"/>
      <w:sz w:val="24"/>
    </w:rPr>
  </w:style>
  <w:style w:styleId="BodyText" w:type="paragraph">
    <w:name w:val="Body Text"/>
    <w:basedOn w:val="Normal"/>
    <w:link w:val="BodyTextChar"/>
    <w:qFormat/>
    <w:pPr>
      <w:spacing w:after="200" w:before="0" w:line="360" w:lineRule="auto"/>
      <w:jc w:val="left"/>
    </w:pPr>
    <w:rPr>
      <w:rFonts w:ascii="Times New Roman" w:cs="Times New Roman" w:eastAsia="Times New Roman" w:hAnsi="Times New Roman"/>
      <w:color w:val="000000"/>
      <w:sz w:val="24"/>
    </w:rPr>
  </w:style>
  <w:style w:customStyle="1" w:styleId="FirstParagraph" w:type="paragraph">
    <w:name w:val="First Paragraph"/>
    <w:basedOn w:val="BodyText"/>
    <w:next w:val="BodyText"/>
    <w:qFormat/>
    <w:pPr>
      <w:spacing w:after="200" w:before="0" w:line="360" w:lineRule="auto"/>
      <w:jc w:val="left"/>
    </w:pPr>
    <w:rPr>
      <w:rFonts w:ascii="Times New Roman" w:cs="Times New Roman" w:eastAsia="Times New Roman" w:hAnsi="Times New Roman"/>
      <w:color w:val="000000"/>
      <w:sz w:val="24"/>
    </w:rPr>
  </w:style>
  <w:style w:customStyle="1" w:styleId="Compact" w:type="paragraph">
    <w:name w:val="Compact"/>
    <w:basedOn w:val="BodyText"/>
    <w:qFormat/>
    <w:pPr>
      <w:spacing w:after="40" w:before="0" w:line="360" w:lineRule="auto"/>
      <w:jc w:val="left"/>
    </w:pPr>
    <w:rPr>
      <w:rFonts w:ascii="Times New Roman" w:cs="Times New Roman" w:eastAsia="Times New Roman" w:hAnsi="Times New Roman"/>
      <w:color w:val="000000"/>
      <w:sz w:val="24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pageBreakBefore w:val="0"/>
      <w:spacing w:after="200" w:before="1800" w:line="360" w:lineRule="auto"/>
      <w:contextualSpacing/>
      <w:jc w:val="center"/>
    </w:pPr>
    <w:rPr>
      <w:rFonts w:ascii="Times New Roman" w:cs="Times New Roman" w:eastAsia="Times New Roman" w:hAnsi="Times New Roman"/>
      <w:b/>
      <w:i w:val="0"/>
      <w:color w:val="000000"/>
      <w:sz w:val="34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styleId="Subtitle" w:type="paragraph">
    <w:name w:val="Subtitle"/>
    <w:basedOn w:val="Normal"/>
    <w:next w:val="BodyText"/>
    <w:link w:val="SubtitleChar"/>
    <w:uiPriority w:val="11"/>
    <w:qFormat/>
    <w:rsid w:val="00A10FD9"/>
    <w:pPr>
      <w:pageBreakBefore w:val="0"/>
      <w:numPr>
        <w:ilvl w:val="1"/>
      </w:numPr>
      <w:spacing w:after="0" w:before="0" w:line="360" w:lineRule="auto"/>
      <w:jc w:val="center"/>
    </w:pPr>
    <w:rPr>
      <w:rFonts w:ascii="Times New Roman" w:cs="Times New Roman" w:eastAsia="Times New Roman" w:hAnsi="Times New Roman"/>
      <w:b/>
      <w:i w:val="0"/>
      <w:color w:val="000000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next w:val="BodyText"/>
    <w:qFormat/>
    <w:pPr>
      <w:keepNext/>
      <w:keepLines/>
      <w:jc w:val="center"/>
    </w:pPr>
    <w:rPr>
      <w:rFonts w:ascii="Times New Roman" w:cs="Times New Roman" w:eastAsia="Times New Roman" w:hAnsi="Times New Roman"/>
      <w:color w:val="000000"/>
      <w:sz w:val="24"/>
    </w:rPr>
  </w:style>
  <w:style w:styleId="Date" w:type="paragraph">
    <w:name w:val="Date"/>
    <w:next w:val="BodyText"/>
    <w:qFormat/>
    <w:pPr>
      <w:keepNext/>
      <w:keepLines/>
      <w:jc w:val="center"/>
    </w:pPr>
    <w:rPr>
      <w:rFonts w:ascii="Times New Roman" w:cs="Times New Roman" w:eastAsia="Times New Roman" w:hAnsi="Times New Roman"/>
      <w:color w:val="000000"/>
      <w:sz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rFonts w:ascii="Times New Roman" w:cs="Times New Roman" w:eastAsia="Times New Roman" w:hAnsi="Times New Roman"/>
      <w:b/>
      <w:color w:val="000000"/>
      <w:sz w:val="24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rFonts w:ascii="Times New Roman" w:cs="Times New Roman" w:eastAsia="Times New Roman" w:hAnsi="Times New Roman"/>
      <w:color w:val="000000"/>
      <w:sz w:val="24"/>
      <w:szCs w:val="20"/>
    </w:rPr>
  </w:style>
  <w:style w:styleId="Bibliography" w:type="paragraph">
    <w:name w:val="Bibliography"/>
    <w:basedOn w:val="Normal"/>
    <w:next w:val="Bibliography"/>
    <w:qFormat/>
    <w:pPr>
      <w:spacing w:after="160" w:line="276" w:lineRule="auto"/>
      <w:ind w:hanging="720" w:left="720"/>
    </w:pPr>
    <w:rPr>
      <w:rFonts w:ascii="Times New Roman" w:cs="Times New Roman" w:eastAsia="Times New Roman" w:hAnsi="Times New Roman"/>
      <w:color w:val="000000"/>
      <w:sz w:val="24"/>
    </w:rPr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pageBreakBefore/>
      <w:spacing w:after="360" w:before="0" w:line="240" w:lineRule="auto"/>
      <w:outlineLvl w:val="0"/>
    </w:pPr>
    <w:rPr>
      <w:rFonts w:ascii="Times New Roman" w:cs="Times New Roman" w:eastAsia="Times New Roman" w:hAnsi="Times New Roman"/>
      <w:b/>
      <w:color w:val="000000"/>
      <w:sz w:val="48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pageBreakBefore w:val="0"/>
      <w:spacing w:after="120" w:before="360" w:line="240" w:lineRule="auto"/>
      <w:outlineLvl w:val="1"/>
    </w:pPr>
    <w:rPr>
      <w:rFonts w:ascii="Times New Roman" w:cs="Times New Roman" w:eastAsia="Times New Roman" w:hAnsi="Times New Roman"/>
      <w:b/>
      <w:color w:val="000000"/>
      <w:sz w:val="34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pageBreakBefore w:val="0"/>
      <w:spacing w:after="80" w:before="240" w:line="240" w:lineRule="auto"/>
      <w:outlineLvl w:val="2"/>
    </w:pPr>
    <w:rPr>
      <w:rFonts w:ascii="Times New Roman" w:cs="Times New Roman" w:eastAsia="Times New Roman" w:hAnsi="Times New Roman"/>
      <w:b/>
      <w:color w:val="000000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200" w:line="240" w:lineRule="auto"/>
      <w:outlineLvl w:val="3"/>
    </w:pPr>
    <w:rPr>
      <w:rFonts w:ascii="Times New Roman" w:cs="Times New Roman" w:eastAsia="Times New Roman" w:hAnsi="Times New Roman"/>
      <w:b/>
      <w:i w:val="0"/>
      <w:iCs/>
      <w:color w:val="000000"/>
      <w:sz w:val="24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200" w:line="240" w:lineRule="auto"/>
      <w:outlineLvl w:val="4"/>
    </w:pPr>
    <w:rPr>
      <w:rFonts w:ascii="Times New Roman" w:cs="Times New Roman" w:eastAsia="Times New Roman" w:hAnsi="Times New Roman"/>
      <w:b/>
      <w:i w:val="0"/>
      <w:color w:val="000000"/>
      <w:sz w:val="24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40" w:before="200" w:line="240" w:lineRule="auto"/>
      <w:outlineLvl w:val="5"/>
    </w:pPr>
    <w:rPr>
      <w:rFonts w:ascii="Times New Roman" w:cs="Times New Roman" w:eastAsia="Times New Roman" w:hAnsi="Times New Roman"/>
      <w:b/>
      <w:i w:val="0"/>
      <w:iCs/>
      <w:color w:val="000000"/>
      <w:sz w:val="24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200" w:before="0" w:line="360" w:lineRule="auto"/>
      <w:ind w:firstLine="0" w:left="480" w:right="480"/>
      <w:jc w:val="left"/>
    </w:pPr>
    <w:rPr>
      <w:rFonts w:ascii="Times New Roman" w:cs="Times New Roman" w:eastAsia="Times New Roman" w:hAnsi="Times New Roman"/>
      <w:color w:val="000000"/>
      <w:sz w:val="24"/>
    </w:rPr>
  </w:style>
  <w:style w:styleId="FootnoteText" w:type="paragraph">
    <w:name w:val="Footnote Text"/>
    <w:basedOn w:val="Normal"/>
    <w:next w:val="FootnoteText"/>
    <w:uiPriority w:val="9"/>
    <w:unhideWhenUsed/>
    <w:qFormat/>
    <w:pPr>
      <w:spacing w:after="40" w:line="240" w:lineRule="auto"/>
    </w:pPr>
    <w:rPr>
      <w:rFonts w:ascii="Times New Roman" w:cs="Times New Roman" w:eastAsia="Times New Roman" w:hAnsi="Times New Roman"/>
      <w:color w:val="000000"/>
      <w:sz w:val="20"/>
    </w:rPr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  <w:rPr>
      <w:rFonts w:ascii="Times New Roman" w:cs="Times New Roman" w:eastAsia="Times New Roman" w:hAnsi="Times New Roman"/>
      <w:color w:val="000000"/>
      <w:sz w:val="20"/>
    </w:r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200" w:before="0" w:line="360" w:lineRule="auto"/>
      <w:jc w:val="left"/>
    </w:pPr>
    <w:rPr>
      <w:rFonts w:ascii="Times New Roman" w:cs="Times New Roman" w:eastAsia="Times New Roman" w:hAnsi="Times New Roman"/>
      <w:b/>
      <w:color w:val="000000"/>
      <w:sz w:val="24"/>
    </w:rPr>
  </w:style>
  <w:style w:customStyle="1" w:styleId="Definition" w:type="paragraph">
    <w:name w:val="Definition"/>
    <w:basedOn w:val="Normal"/>
    <w:pPr>
      <w:spacing w:after="200" w:before="0" w:line="360" w:lineRule="auto"/>
      <w:jc w:val="left"/>
    </w:pPr>
    <w:rPr>
      <w:rFonts w:ascii="Times New Roman" w:cs="Times New Roman" w:eastAsia="Times New Roman" w:hAnsi="Times New Roman"/>
      <w:color w:val="000000"/>
      <w:sz w:val="24"/>
    </w:rPr>
  </w:style>
  <w:style w:styleId="Caption" w:type="paragraph">
    <w:name w:val="Caption"/>
    <w:basedOn w:val="Normal"/>
    <w:link w:val="BodyTextChar"/>
    <w:pPr>
      <w:spacing w:after="200" w:before="80" w:line="240" w:lineRule="auto"/>
      <w:jc w:val="center"/>
    </w:pPr>
    <w:rPr>
      <w:rFonts w:ascii="Times New Roman" w:cs="Times New Roman" w:eastAsia="Times New Roman" w:hAnsi="Times New Roman"/>
      <w:i w:val="0"/>
      <w:color w:val="000000"/>
      <w:sz w:val="20"/>
    </w:rPr>
  </w:style>
  <w:style w:customStyle="1" w:styleId="TableCaption" w:type="paragraph">
    <w:name w:val="Table Caption"/>
    <w:basedOn w:val="Caption"/>
    <w:pPr>
      <w:keepNext/>
      <w:spacing w:after="200" w:before="80" w:line="240" w:lineRule="auto"/>
      <w:jc w:val="center"/>
    </w:pPr>
    <w:rPr>
      <w:rFonts w:ascii="Times New Roman" w:cs="Times New Roman" w:eastAsia="Times New Roman" w:hAnsi="Times New Roman"/>
      <w:i w:val="0"/>
      <w:color w:val="000000"/>
      <w:sz w:val="20"/>
    </w:rPr>
  </w:style>
  <w:style w:customStyle="1" w:styleId="ImageCaption" w:type="paragraph">
    <w:name w:val="Image Caption"/>
    <w:basedOn w:val="Caption"/>
    <w:pPr>
      <w:spacing w:after="200" w:before="80" w:line="240" w:lineRule="auto"/>
      <w:jc w:val="center"/>
    </w:pPr>
    <w:rPr>
      <w:rFonts w:ascii="Times New Roman" w:cs="Times New Roman" w:eastAsia="Times New Roman" w:hAnsi="Times New Roman"/>
      <w:i w:val="0"/>
      <w:color w:val="000000"/>
      <w:sz w:val="20"/>
    </w:rPr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pageBreakBefore/>
      <w:spacing w:after="360" w:before="0" w:line="240" w:lineRule="auto"/>
      <w:jc w:val="left"/>
      <w:outlineLvl w:val="9"/>
    </w:pPr>
    <w:rPr>
      <w:rFonts w:ascii="Times New Roman" w:cs="Times New Roman" w:eastAsia="Times New Roman" w:hAnsi="Times New Roman"/>
      <w:b/>
      <w:bCs w:val="0"/>
      <w:color w:val="000000"/>
      <w:sz w:val="48"/>
    </w:rPr>
  </w:style>
  <w:style w:customStyle="1" w:styleId="toc1" w:type="paragraph">
    <w:name w:val="toc 1"/>
    <w:basedOn w:val="Normal"/>
    <w:qFormat/>
    <w:pPr>
      <w:spacing w:after="40" w:before="160" w:line="276" w:lineRule="auto"/>
    </w:pPr>
    <w:rPr>
      <w:rFonts w:ascii="Times New Roman" w:cs="Times New Roman" w:eastAsia="Times New Roman" w:hAnsi="Times New Roman"/>
      <w:b/>
      <w:color w:val="000000"/>
      <w:sz w:val="24"/>
    </w:rPr>
  </w:style>
  <w:style w:customStyle="1" w:styleId="toc2" w:type="paragraph">
    <w:name w:val="toc 2"/>
    <w:basedOn w:val="Normal"/>
    <w:qFormat/>
    <w:pPr>
      <w:spacing w:after="40" w:before="0" w:line="276" w:lineRule="auto"/>
      <w:ind w:left="340"/>
    </w:pPr>
    <w:rPr>
      <w:rFonts w:ascii="Times New Roman" w:cs="Times New Roman" w:eastAsia="Times New Roman" w:hAnsi="Times New Roman"/>
      <w:b w:val="0"/>
      <w:color w:val="000000"/>
      <w:sz w:val="24"/>
    </w:rPr>
  </w:style>
  <w:style w:customStyle="1" w:styleId="WordCount" w:type="paragraph">
    <w:name w:val="Word Count"/>
    <w:basedOn w:val="Normal"/>
    <w:qFormat/>
    <w:pPr>
      <w:spacing w:after="0" w:before="720"/>
      <w:jc w:val="right"/>
    </w:pPr>
    <w:rPr>
      <w:rFonts w:ascii="Times New Roman" w:cs="Times New Roman" w:eastAsia="Times New Roman" w:hAnsi="Times New Roman"/>
      <w:color w:val="000000"/>
      <w:sz w:val="24"/>
    </w:rPr>
  </w:style>
  <w:style w:customStyle="1" w:styleId="TitleLogo" w:type="paragraph">
    <w:name w:val="Title Logo"/>
    <w:basedOn w:val="Normal"/>
    <w:qFormat/>
    <w:pPr>
      <w:pageBreakBefore w:val="0"/>
      <w:spacing w:after="0" w:before="0" w:line="360" w:lineRule="auto"/>
      <w:jc w:val="left"/>
    </w:pPr>
    <w:rPr>
      <w:rFonts w:ascii="Times New Roman" w:cs="Times New Roman" w:eastAsia="Times New Roman" w:hAnsi="Times New Roman"/>
      <w:i w:val="0"/>
      <w:color w:val="000000"/>
      <w:sz w:val="24"/>
    </w:rPr>
  </w:style>
  <w:style w:customStyle="1" w:styleId="TitlePageType" w:type="paragraph">
    <w:name w:val="Title Page Type"/>
    <w:basedOn w:val="Normal"/>
    <w:qFormat/>
    <w:pPr>
      <w:pageBreakBefore w:val="0"/>
      <w:spacing w:after="0" w:before="1120" w:line="360" w:lineRule="auto"/>
      <w:jc w:val="center"/>
    </w:pPr>
    <w:rPr>
      <w:rFonts w:ascii="Times New Roman" w:cs="Times New Roman" w:eastAsia="Times New Roman" w:hAnsi="Times New Roman"/>
      <w:b w:val="0"/>
      <w:i w:val="0"/>
      <w:color w:val="000000"/>
      <w:sz w:val="24"/>
    </w:rPr>
  </w:style>
  <w:style w:customStyle="1" w:styleId="TitlePageDate" w:type="paragraph">
    <w:name w:val="Title Page Date"/>
    <w:basedOn w:val="Normal"/>
    <w:qFormat/>
    <w:pPr>
      <w:pageBreakBefore w:val="0"/>
      <w:spacing w:after="40" w:before="1120" w:line="360" w:lineRule="auto"/>
      <w:jc w:val="center"/>
    </w:pPr>
    <w:rPr>
      <w:rFonts w:ascii="Times New Roman" w:cs="Times New Roman" w:eastAsia="Times New Roman" w:hAnsi="Times New Roman"/>
      <w:b w:val="0"/>
      <w:i w:val="0"/>
      <w:color w:val="000000"/>
      <w:sz w:val="24"/>
    </w:rPr>
  </w:style>
  <w:style w:customStyle="1" w:styleId="TitlePageSmall" w:type="paragraph">
    <w:name w:val="Title Page Small"/>
    <w:basedOn w:val="Normal"/>
    <w:qFormat/>
    <w:pPr>
      <w:pageBreakBefore w:val="0"/>
      <w:spacing w:after="0" w:before="0" w:line="360" w:lineRule="auto"/>
      <w:jc w:val="center"/>
    </w:pPr>
    <w:rPr>
      <w:rFonts w:ascii="Times New Roman" w:cs="Times New Roman" w:eastAsia="Times New Roman" w:hAnsi="Times New Roman"/>
      <w:b w:val="0"/>
      <w:i w:val="0"/>
      <w:color w:val="000000"/>
      <w:sz w:val="20"/>
    </w:rPr>
  </w:style>
  <w:style w:customStyle="1" w:styleId="TitlePageAuthor" w:type="paragraph">
    <w:name w:val="Title Page Author"/>
    <w:basedOn w:val="Normal"/>
    <w:qFormat/>
    <w:pPr>
      <w:pageBreakBefore w:val="0"/>
      <w:spacing w:after="0" w:before="1120" w:line="360" w:lineRule="auto"/>
      <w:jc w:val="center"/>
    </w:pPr>
    <w:rPr>
      <w:rFonts w:ascii="Times New Roman" w:cs="Times New Roman" w:eastAsia="Times New Roman" w:hAnsi="Times New Roman"/>
      <w:b w:val="0"/>
      <w:i w:val="0"/>
      <w:color w:val="000000"/>
      <w:sz w:val="24"/>
    </w:rPr>
  </w:style>
  <w:style w:customStyle="1" w:styleId="TitlePageText" w:type="paragraph">
    <w:name w:val="Title Page Text"/>
    <w:basedOn w:val="Normal"/>
    <w:qFormat/>
    <w:pPr>
      <w:pageBreakBefore w:val="0"/>
      <w:spacing w:after="0" w:before="0" w:line="360" w:lineRule="auto"/>
      <w:jc w:val="center"/>
    </w:pPr>
    <w:rPr>
      <w:rFonts w:ascii="Times New Roman" w:cs="Times New Roman" w:eastAsia="Times New Roman" w:hAnsi="Times New Roman"/>
      <w:b w:val="0"/>
      <w:i w:val="0"/>
      <w:color w:val="000000"/>
      <w:sz w:val="24"/>
    </w:rPr>
  </w:style>
  <w:style w:customStyle="1" w:styleId="TitlePageSupervisor" w:type="paragraph">
    <w:name w:val="Title Page Supervisor"/>
    <w:basedOn w:val="Normal"/>
    <w:qFormat/>
    <w:pPr>
      <w:pageBreakBefore w:val="0"/>
      <w:spacing w:after="0" w:before="480" w:line="360" w:lineRule="auto"/>
      <w:jc w:val="center"/>
    </w:pPr>
    <w:rPr>
      <w:rFonts w:ascii="Times New Roman" w:cs="Times New Roman" w:eastAsia="Times New Roman" w:hAnsi="Times New Roman"/>
      <w:b w:val="0"/>
      <w:i w:val="0"/>
      <w:color w:val="000000"/>
      <w:sz w:val="24"/>
    </w:rPr>
  </w:style>
  <w:style w:customStyle="1" w:styleId="TitlePageFunding" w:type="paragraph">
    <w:name w:val="Title Page Funding"/>
    <w:basedOn w:val="Normal"/>
    <w:qFormat/>
    <w:pPr>
      <w:pageBreakBefore w:val="0"/>
      <w:spacing w:after="0" w:before="1200" w:line="360" w:lineRule="auto"/>
      <w:jc w:val="center"/>
    </w:pPr>
    <w:rPr>
      <w:rFonts w:ascii="Times New Roman" w:cs="Times New Roman" w:eastAsia="Times New Roman" w:hAnsi="Times New Roman"/>
      <w:b w:val="0"/>
      <w:i w:val="0"/>
      <w:color w:val="000000"/>
      <w:sz w:val="16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41" Target="https://doi.org/10.1037/a0037760" TargetMode="External" /><Relationship Type="http://schemas.openxmlformats.org/officeDocument/2006/relationships/hyperlink" Id="rId25" Target="https://doi.org/10.1073/pnas.2007977117" TargetMode="External" /><Relationship Type="http://schemas.openxmlformats.org/officeDocument/2006/relationships/hyperlink" Id="rId37" Target="https://doi.org/10.1111/bjso.12097" TargetMode="External" /><Relationship Type="http://schemas.openxmlformats.org/officeDocument/2006/relationships/hyperlink" Id="rId30" Target="https://doi.org/10.1257/aer.2017117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1" Target="https://doi.org/10.1037/a0037760" TargetMode="External" /><Relationship Type="http://schemas.openxmlformats.org/officeDocument/2006/relationships/hyperlink" Id="rId25" Target="https://doi.org/10.1073/pnas.2007977117" TargetMode="External" /><Relationship Type="http://schemas.openxmlformats.org/officeDocument/2006/relationships/hyperlink" Id="rId37" Target="https://doi.org/10.1111/bjso.12097" TargetMode="External" /><Relationship Type="http://schemas.openxmlformats.org/officeDocument/2006/relationships/hyperlink" Id="rId30" Target="https://doi.org/10.1257/aer.2017117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dc:language>es</dc:language>
  <cp:keywords/>
  <dcterms:created xsi:type="dcterms:W3CDTF">2026-09-25T19:19:28Z</dcterms:created>
  <dcterms:modified xsi:type="dcterms:W3CDTF">2026-09-25T19:19:28Z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ffiliations">
    <vt:lpwstr/>
  </property>
  <property fmtid="{D5CDD505-2E9C-101B-9397-08002B2CF9AE}" pid="3" name="biblio-config">
    <vt:lpwstr>True</vt:lpwstr>
  </property>
  <property fmtid="{D5CDD505-2E9C-101B-9397-08002B2CF9AE}" pid="4" name="bibliography">
    <vt:lpwstr>referencias_normas.bib</vt:lpwstr>
  </property>
  <property fmtid="{D5CDD505-2E9C-101B-9397-08002B2CF9AE}" pid="5" name="by-affiliation">
    <vt:lpwstr/>
  </property>
  <property fmtid="{D5CDD505-2E9C-101B-9397-08002B2CF9AE}" pid="6" name="csl">
    <vt:lpwstr>apa.csl</vt:lpwstr>
  </property>
  <property fmtid="{D5CDD505-2E9C-101B-9397-08002B2CF9AE}" pid="7" name="date-format">
    <vt:lpwstr>long</vt:lpwstr>
  </property>
  <property fmtid="{D5CDD505-2E9C-101B-9397-08002B2CF9AE}" pid="8" name="header-includes">
    <vt:lpwstr/>
  </property>
  <property fmtid="{D5CDD505-2E9C-101B-9397-08002B2CF9AE}" pid="9" name="include-after">
    <vt:lpwstr/>
  </property>
  <property fmtid="{D5CDD505-2E9C-101B-9397-08002B2CF9AE}" pid="10" name="include-before">
    <vt:lpwstr/>
  </property>
  <property fmtid="{D5CDD505-2E9C-101B-9397-08002B2CF9AE}" pid="11" name="labels">
    <vt:lpwstr/>
  </property>
  <property fmtid="{D5CDD505-2E9C-101B-9397-08002B2CF9AE}" pid="12" name="lse">
    <vt:lpwstr/>
  </property>
  <property fmtid="{D5CDD505-2E9C-101B-9397-08002B2CF9AE}" pid="13" name="toc-title">
    <vt:lpwstr>Tabla de contenidos</vt:lpwstr>
  </property>
  <property fmtid="{D5CDD505-2E9C-101B-9397-08002B2CF9AE}" pid="14" name="wordcount">
    <vt:lpwstr>559</vt:lpwstr>
  </property>
</Properties>
</file>